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A627" w14:textId="3C66CD2C" w:rsidR="00EC744B" w:rsidRPr="00F22175" w:rsidRDefault="00EC744B" w:rsidP="00F22175">
      <w:pPr>
        <w:ind w:hanging="567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22175">
        <w:rPr>
          <w:rFonts w:cstheme="minorHAnsi"/>
          <w:b/>
          <w:bCs/>
          <w:sz w:val="24"/>
          <w:szCs w:val="24"/>
          <w:u w:val="single"/>
        </w:rPr>
        <w:t xml:space="preserve">BECA GENERACIÓN </w:t>
      </w:r>
      <w:proofErr w:type="gramStart"/>
      <w:r w:rsidRPr="00F22175">
        <w:rPr>
          <w:rFonts w:cstheme="minorHAnsi"/>
          <w:b/>
          <w:bCs/>
          <w:sz w:val="24"/>
          <w:szCs w:val="24"/>
          <w:u w:val="single"/>
        </w:rPr>
        <w:t>BICENTEN</w:t>
      </w:r>
      <w:r w:rsidR="00F22175" w:rsidRPr="00F22175">
        <w:rPr>
          <w:rFonts w:cstheme="minorHAnsi"/>
          <w:b/>
          <w:bCs/>
          <w:sz w:val="24"/>
          <w:szCs w:val="24"/>
          <w:u w:val="single"/>
        </w:rPr>
        <w:t>ARIO  CONVOCATORIA</w:t>
      </w:r>
      <w:proofErr w:type="gramEnd"/>
      <w:r w:rsidR="00F22175" w:rsidRPr="00F22175">
        <w:rPr>
          <w:rFonts w:cstheme="minorHAnsi"/>
          <w:b/>
          <w:bCs/>
          <w:sz w:val="24"/>
          <w:szCs w:val="24"/>
          <w:u w:val="single"/>
        </w:rPr>
        <w:t xml:space="preserve"> 2022</w:t>
      </w:r>
    </w:p>
    <w:p w14:paraId="4ED9EA13" w14:textId="77777777" w:rsidR="00F22175" w:rsidRDefault="00F22175" w:rsidP="00E30C7B">
      <w:pPr>
        <w:ind w:hanging="567"/>
        <w:rPr>
          <w:rFonts w:cstheme="minorHAnsi"/>
          <w:b/>
          <w:bCs/>
          <w:sz w:val="20"/>
          <w:szCs w:val="20"/>
          <w:u w:val="single"/>
        </w:rPr>
      </w:pPr>
    </w:p>
    <w:p w14:paraId="0372CBF5" w14:textId="1299D40D" w:rsidR="002E79CF" w:rsidRPr="00EC744B" w:rsidRDefault="002E79CF" w:rsidP="00E30C7B">
      <w:pPr>
        <w:ind w:hanging="567"/>
        <w:rPr>
          <w:rFonts w:cstheme="minorHAnsi"/>
          <w:b/>
          <w:bCs/>
          <w:sz w:val="20"/>
          <w:szCs w:val="20"/>
          <w:u w:val="single"/>
        </w:rPr>
      </w:pPr>
      <w:proofErr w:type="gramStart"/>
      <w:r w:rsidRPr="00EC744B">
        <w:rPr>
          <w:rFonts w:cstheme="minorHAnsi"/>
          <w:b/>
          <w:bCs/>
          <w:sz w:val="20"/>
          <w:szCs w:val="20"/>
          <w:u w:val="single"/>
        </w:rPr>
        <w:t xml:space="preserve">POBLACIÓN </w:t>
      </w:r>
      <w:r w:rsidR="00EF00D7" w:rsidRPr="00EC744B">
        <w:rPr>
          <w:rFonts w:cstheme="minorHAnsi"/>
          <w:b/>
          <w:bCs/>
          <w:sz w:val="20"/>
          <w:szCs w:val="20"/>
          <w:u w:val="single"/>
        </w:rPr>
        <w:t xml:space="preserve"> BENEFICIARIA</w:t>
      </w:r>
      <w:proofErr w:type="gramEnd"/>
    </w:p>
    <w:p w14:paraId="08FDA9F5" w14:textId="7A1C7221" w:rsidR="002E79CF" w:rsidRPr="00EC744B" w:rsidRDefault="002E79CF" w:rsidP="00EC744B">
      <w:pPr>
        <w:ind w:left="-567"/>
        <w:jc w:val="both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La Beca Generación del Bicentenario, para estudios de maestría o doctorado, se dirige a peruanos y peruanas que hayan concluido estudios superiores y obtenido un grado académico o título profesional o título técnico profesional con alto rendimiento académico, y cuenten con insuficientes recursos económicos para financiar un programa de posgrado.</w:t>
      </w:r>
    </w:p>
    <w:p w14:paraId="30536050" w14:textId="78F52B4E" w:rsidR="00EF00D7" w:rsidRPr="00EC744B" w:rsidRDefault="00EF00D7" w:rsidP="00E30C7B">
      <w:pPr>
        <w:ind w:hanging="567"/>
        <w:rPr>
          <w:rFonts w:cstheme="minorHAnsi"/>
          <w:b/>
          <w:bCs/>
          <w:sz w:val="20"/>
          <w:szCs w:val="20"/>
          <w:u w:val="single"/>
        </w:rPr>
      </w:pPr>
      <w:r w:rsidRPr="00EC744B">
        <w:rPr>
          <w:rFonts w:cstheme="minorHAnsi"/>
          <w:b/>
          <w:bCs/>
          <w:sz w:val="20"/>
          <w:szCs w:val="20"/>
          <w:u w:val="single"/>
        </w:rPr>
        <w:t>CRONOGRAMA DEL CONCURSO</w:t>
      </w:r>
    </w:p>
    <w:p w14:paraId="2C77074C" w14:textId="77777777" w:rsidR="00EF00D7" w:rsidRPr="00EC744B" w:rsidRDefault="00EF00D7" w:rsidP="00E30C7B">
      <w:pPr>
        <w:pStyle w:val="NormalWeb"/>
        <w:spacing w:before="0" w:beforeAutospacing="0" w:after="0" w:afterAutospacing="0" w:line="288" w:lineRule="atLeast"/>
        <w:ind w:hanging="567"/>
        <w:textAlignment w:val="baseline"/>
        <w:rPr>
          <w:rFonts w:asciiTheme="minorHAnsi" w:hAnsiTheme="minorHAnsi" w:cstheme="minorHAnsi"/>
          <w:sz w:val="20"/>
          <w:szCs w:val="20"/>
        </w:rPr>
      </w:pPr>
      <w:r w:rsidRPr="00EC744B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Postulación Electrónica: </w:t>
      </w:r>
      <w:r w:rsidRPr="00EC744B">
        <w:rPr>
          <w:rFonts w:asciiTheme="minorHAnsi" w:hAnsiTheme="minorHAnsi" w:cstheme="minorHAnsi"/>
          <w:sz w:val="20"/>
          <w:szCs w:val="20"/>
        </w:rPr>
        <w:t>del 16/5/2022 al 28/6/2022 (culmina a las 5:30 p.m.)</w:t>
      </w:r>
    </w:p>
    <w:p w14:paraId="6D5FB291" w14:textId="77777777" w:rsidR="00EF00D7" w:rsidRPr="00EC744B" w:rsidRDefault="00EF00D7" w:rsidP="00E30C7B">
      <w:pPr>
        <w:pStyle w:val="NormalWeb"/>
        <w:spacing w:before="0" w:beforeAutospacing="0" w:after="0" w:afterAutospacing="0" w:line="288" w:lineRule="atLeast"/>
        <w:ind w:hanging="567"/>
        <w:textAlignment w:val="baseline"/>
        <w:rPr>
          <w:rFonts w:asciiTheme="minorHAnsi" w:hAnsiTheme="minorHAnsi" w:cstheme="minorHAnsi"/>
          <w:sz w:val="20"/>
          <w:szCs w:val="20"/>
        </w:rPr>
      </w:pPr>
      <w:r w:rsidRPr="00EC744B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Subsanación de la postulación:</w:t>
      </w:r>
      <w:r w:rsidRPr="00EC744B">
        <w:rPr>
          <w:rFonts w:asciiTheme="minorHAnsi" w:hAnsiTheme="minorHAnsi" w:cstheme="minorHAnsi"/>
          <w:sz w:val="20"/>
          <w:szCs w:val="20"/>
        </w:rPr>
        <w:t> del 23/6/2022 al 8/7/2022</w:t>
      </w:r>
    </w:p>
    <w:p w14:paraId="0B525B37" w14:textId="77777777" w:rsidR="00EF00D7" w:rsidRPr="00EC744B" w:rsidRDefault="00EF00D7" w:rsidP="00E30C7B">
      <w:pPr>
        <w:pStyle w:val="NormalWeb"/>
        <w:spacing w:before="0" w:beforeAutospacing="0" w:after="0" w:afterAutospacing="0" w:line="288" w:lineRule="atLeast"/>
        <w:ind w:hanging="567"/>
        <w:textAlignment w:val="baseline"/>
        <w:rPr>
          <w:rFonts w:asciiTheme="minorHAnsi" w:hAnsiTheme="minorHAnsi" w:cstheme="minorHAnsi"/>
          <w:sz w:val="20"/>
          <w:szCs w:val="20"/>
        </w:rPr>
      </w:pPr>
      <w:r w:rsidRPr="00EC744B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Validación de postulación:</w:t>
      </w:r>
      <w:r w:rsidRPr="00EC744B">
        <w:rPr>
          <w:rFonts w:asciiTheme="minorHAnsi" w:hAnsiTheme="minorHAnsi" w:cstheme="minorHAnsi"/>
          <w:sz w:val="20"/>
          <w:szCs w:val="20"/>
        </w:rPr>
        <w:t> del 23/6/2022 al 15/7/2022</w:t>
      </w:r>
    </w:p>
    <w:p w14:paraId="71820E3E" w14:textId="77777777" w:rsidR="00EF00D7" w:rsidRPr="00EC744B" w:rsidRDefault="00EF00D7" w:rsidP="00E30C7B">
      <w:pPr>
        <w:pStyle w:val="NormalWeb"/>
        <w:spacing w:before="0" w:beforeAutospacing="0" w:after="0" w:afterAutospacing="0" w:line="288" w:lineRule="atLeast"/>
        <w:ind w:hanging="567"/>
        <w:textAlignment w:val="baseline"/>
        <w:rPr>
          <w:rFonts w:asciiTheme="minorHAnsi" w:hAnsiTheme="minorHAnsi" w:cstheme="minorHAnsi"/>
          <w:sz w:val="20"/>
          <w:szCs w:val="20"/>
        </w:rPr>
      </w:pPr>
      <w:r w:rsidRPr="00EC744B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Publicación de seleccionados:</w:t>
      </w:r>
      <w:r w:rsidRPr="00EC744B">
        <w:rPr>
          <w:rFonts w:asciiTheme="minorHAnsi" w:hAnsiTheme="minorHAnsi" w:cstheme="minorHAnsi"/>
          <w:sz w:val="20"/>
          <w:szCs w:val="20"/>
        </w:rPr>
        <w:t> 20/7/2022</w:t>
      </w:r>
    </w:p>
    <w:p w14:paraId="25694262" w14:textId="77777777" w:rsidR="00EF00D7" w:rsidRPr="00EC744B" w:rsidRDefault="00EF00D7" w:rsidP="00E30C7B">
      <w:pPr>
        <w:pStyle w:val="NormalWeb"/>
        <w:spacing w:before="0" w:beforeAutospacing="0" w:after="0" w:afterAutospacing="0" w:line="288" w:lineRule="atLeast"/>
        <w:ind w:hanging="567"/>
        <w:textAlignment w:val="baseline"/>
        <w:rPr>
          <w:rFonts w:asciiTheme="minorHAnsi" w:hAnsiTheme="minorHAnsi" w:cstheme="minorHAnsi"/>
          <w:sz w:val="20"/>
          <w:szCs w:val="20"/>
        </w:rPr>
      </w:pPr>
      <w:r w:rsidRPr="00EC744B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Aceptación de la beca: </w:t>
      </w:r>
      <w:r w:rsidRPr="00EC744B">
        <w:rPr>
          <w:rFonts w:asciiTheme="minorHAnsi" w:hAnsiTheme="minorHAnsi" w:cstheme="minorHAnsi"/>
          <w:sz w:val="20"/>
          <w:szCs w:val="20"/>
        </w:rPr>
        <w:t>del 25/7/2022 al 1/8/2022</w:t>
      </w:r>
    </w:p>
    <w:p w14:paraId="522465C5" w14:textId="77777777" w:rsidR="00EF00D7" w:rsidRPr="00EC744B" w:rsidRDefault="00EF00D7" w:rsidP="00E30C7B">
      <w:pPr>
        <w:pStyle w:val="NormalWeb"/>
        <w:spacing w:before="0" w:beforeAutospacing="0" w:after="0" w:afterAutospacing="0" w:line="288" w:lineRule="atLeast"/>
        <w:ind w:hanging="567"/>
        <w:textAlignment w:val="baseline"/>
        <w:rPr>
          <w:rFonts w:asciiTheme="minorHAnsi" w:hAnsiTheme="minorHAnsi" w:cstheme="minorHAnsi"/>
          <w:sz w:val="20"/>
          <w:szCs w:val="20"/>
        </w:rPr>
      </w:pPr>
      <w:r w:rsidRPr="00EC744B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Publicación de lista de becarios (no incluye accesitarios): </w:t>
      </w:r>
      <w:r w:rsidRPr="00EC744B">
        <w:rPr>
          <w:rFonts w:asciiTheme="minorHAnsi" w:hAnsiTheme="minorHAnsi" w:cstheme="minorHAnsi"/>
          <w:sz w:val="20"/>
          <w:szCs w:val="20"/>
        </w:rPr>
        <w:t>A partir del 27/7/2022</w:t>
      </w:r>
    </w:p>
    <w:p w14:paraId="59610AEF" w14:textId="448EDC14" w:rsidR="00EF00D7" w:rsidRPr="00EC744B" w:rsidRDefault="00EF00D7" w:rsidP="00E30C7B">
      <w:pPr>
        <w:ind w:hanging="567"/>
        <w:rPr>
          <w:rFonts w:cstheme="minorHAnsi"/>
          <w:sz w:val="20"/>
          <w:szCs w:val="20"/>
        </w:rPr>
      </w:pPr>
    </w:p>
    <w:p w14:paraId="379DBBE4" w14:textId="74C598CB" w:rsidR="00EF00D7" w:rsidRPr="00EC744B" w:rsidRDefault="00EF00D7" w:rsidP="00E30C7B">
      <w:pPr>
        <w:ind w:hanging="567"/>
        <w:rPr>
          <w:rFonts w:cstheme="minorHAnsi"/>
          <w:b/>
          <w:bCs/>
          <w:sz w:val="20"/>
          <w:szCs w:val="20"/>
        </w:rPr>
      </w:pPr>
      <w:r w:rsidRPr="00EC744B">
        <w:rPr>
          <w:rFonts w:cstheme="minorHAnsi"/>
          <w:b/>
          <w:bCs/>
          <w:sz w:val="20"/>
          <w:szCs w:val="20"/>
        </w:rPr>
        <w:t>DURACIÓN DE LA BECA</w:t>
      </w:r>
    </w:p>
    <w:p w14:paraId="5B839E1A" w14:textId="12FBD9D3" w:rsidR="00EF00D7" w:rsidRPr="00EC744B" w:rsidRDefault="00EF00D7" w:rsidP="00EC744B">
      <w:pPr>
        <w:ind w:left="-567"/>
        <w:jc w:val="both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La beca se otorga para estudios de posgrado por el periodo de duración del programa consignado en la carta de aceptación u otro documento oficial de la IES de acuerdo con su malla curricular o plan de estudios, este periodo deberá incluir la elaboración de tesis y la obtención del grado. La elaboración de la tesis se debe realizar en paralelo a los estudios del programa</w:t>
      </w:r>
      <w:r w:rsidRPr="00EC744B">
        <w:rPr>
          <w:rFonts w:cstheme="minorHAnsi"/>
          <w:sz w:val="20"/>
          <w:szCs w:val="20"/>
        </w:rPr>
        <w:t>.</w:t>
      </w:r>
    </w:p>
    <w:p w14:paraId="62E0385C" w14:textId="6BFBEE6D" w:rsidR="00EF00D7" w:rsidRPr="00EC744B" w:rsidRDefault="00EF00D7" w:rsidP="00EC744B">
      <w:pPr>
        <w:ind w:left="-567"/>
        <w:jc w:val="both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Las becas en esta convocatoria están destinadas a financiar programas académicos con inicio de estudios entre la fecha de publicación de bases del concurso de la presente convocatoria hasta el 31 de diciembre de 2023</w:t>
      </w:r>
    </w:p>
    <w:p w14:paraId="708B5634" w14:textId="70B9F41E" w:rsidR="00EF00D7" w:rsidRPr="00EC744B" w:rsidRDefault="00EF00D7" w:rsidP="00E30C7B">
      <w:pPr>
        <w:ind w:hanging="567"/>
        <w:rPr>
          <w:rFonts w:cstheme="minorHAnsi"/>
          <w:b/>
          <w:bCs/>
          <w:sz w:val="20"/>
          <w:szCs w:val="20"/>
          <w:u w:val="single"/>
        </w:rPr>
      </w:pPr>
      <w:r w:rsidRPr="00EC744B">
        <w:rPr>
          <w:rFonts w:cstheme="minorHAnsi"/>
          <w:b/>
          <w:bCs/>
          <w:sz w:val="20"/>
          <w:szCs w:val="20"/>
          <w:u w:val="single"/>
        </w:rPr>
        <w:t>BENEFICIOS QUE OTORGA LA BECA</w:t>
      </w:r>
    </w:p>
    <w:p w14:paraId="28D715B1" w14:textId="438B0E58" w:rsidR="00EF00D7" w:rsidRPr="00EC744B" w:rsidRDefault="00EF00D7" w:rsidP="00E30C7B">
      <w:pPr>
        <w:ind w:left="-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Los beneficios que otorga la beca comprenden el financiamiento para subvencionar los siguientes conceptos:</w:t>
      </w:r>
    </w:p>
    <w:p w14:paraId="4B9B4C67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left="142" w:right="-568" w:firstLine="11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Costo de matrícula.</w:t>
      </w:r>
    </w:p>
    <w:p w14:paraId="60351B86" w14:textId="18CF6720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 Pensión del programa de estudios. Esto incluye todos los conceptos obligatorios y necesarios para el desarrollo de los estudios, requeridos por las IES a todos los estudiantes de posgrado, conforme a sus disposiciones o normativa interna y acreditados en documentos oficiales de estas; tales como “</w:t>
      </w:r>
      <w:proofErr w:type="spellStart"/>
      <w:r w:rsidRPr="00EC744B">
        <w:rPr>
          <w:rFonts w:cstheme="minorHAnsi"/>
          <w:sz w:val="20"/>
          <w:szCs w:val="20"/>
        </w:rPr>
        <w:t>Mandatory</w:t>
      </w:r>
      <w:proofErr w:type="spellEnd"/>
      <w:r w:rsidRPr="00EC744B">
        <w:rPr>
          <w:rFonts w:cstheme="minorHAnsi"/>
          <w:sz w:val="20"/>
          <w:szCs w:val="20"/>
        </w:rPr>
        <w:t xml:space="preserve"> </w:t>
      </w:r>
      <w:proofErr w:type="spellStart"/>
      <w:r w:rsidRPr="00EC744B">
        <w:rPr>
          <w:rFonts w:cstheme="minorHAnsi"/>
          <w:sz w:val="20"/>
          <w:szCs w:val="20"/>
        </w:rPr>
        <w:t>services</w:t>
      </w:r>
      <w:proofErr w:type="spellEnd"/>
      <w:r w:rsidRPr="00EC744B">
        <w:rPr>
          <w:rFonts w:cstheme="minorHAnsi"/>
          <w:sz w:val="20"/>
          <w:szCs w:val="20"/>
        </w:rPr>
        <w:t>”, “</w:t>
      </w:r>
      <w:proofErr w:type="spellStart"/>
      <w:r w:rsidRPr="00EC744B">
        <w:rPr>
          <w:rFonts w:cstheme="minorHAnsi"/>
          <w:sz w:val="20"/>
          <w:szCs w:val="20"/>
        </w:rPr>
        <w:t>Student</w:t>
      </w:r>
      <w:proofErr w:type="spellEnd"/>
      <w:r w:rsidRPr="00EC744B">
        <w:rPr>
          <w:rFonts w:cstheme="minorHAnsi"/>
          <w:sz w:val="20"/>
          <w:szCs w:val="20"/>
        </w:rPr>
        <w:t xml:space="preserve"> fees”; “</w:t>
      </w:r>
      <w:proofErr w:type="spellStart"/>
      <w:r w:rsidRPr="00EC744B">
        <w:rPr>
          <w:rFonts w:cstheme="minorHAnsi"/>
          <w:sz w:val="20"/>
          <w:szCs w:val="20"/>
        </w:rPr>
        <w:t>Student</w:t>
      </w:r>
      <w:proofErr w:type="spellEnd"/>
      <w:r w:rsidRPr="00EC744B">
        <w:rPr>
          <w:rFonts w:cstheme="minorHAnsi"/>
          <w:sz w:val="20"/>
          <w:szCs w:val="20"/>
        </w:rPr>
        <w:t xml:space="preserve"> </w:t>
      </w:r>
      <w:proofErr w:type="spellStart"/>
      <w:r w:rsidRPr="00EC744B">
        <w:rPr>
          <w:rFonts w:cstheme="minorHAnsi"/>
          <w:sz w:val="20"/>
          <w:szCs w:val="20"/>
        </w:rPr>
        <w:t>services</w:t>
      </w:r>
      <w:proofErr w:type="spellEnd"/>
      <w:r w:rsidRPr="00EC744B">
        <w:rPr>
          <w:rFonts w:cstheme="minorHAnsi"/>
          <w:sz w:val="20"/>
          <w:szCs w:val="20"/>
        </w:rPr>
        <w:t xml:space="preserve">”, entre otros. </w:t>
      </w:r>
    </w:p>
    <w:p w14:paraId="4A1C6CC1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Gastos administrativos para la obtención del grado y/o título respectivo. </w:t>
      </w:r>
    </w:p>
    <w:p w14:paraId="7E818996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Transporte interprovincial: desde la localidad de origen del becario hacia la provincia que cuente con aeropuerto internacional y viceversa (solo al inicio y término del programa académico), de corresponder.</w:t>
      </w:r>
    </w:p>
    <w:p w14:paraId="5E229C5E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Transporte internacional: costos que se otorgan a los becarios para desplazarse por vía terrestre o aérea, directo o en escala, desde el Perú hacia la ciudad de destino en la que debe desarrollar sus estudios y viceversa, de corresponder.</w:t>
      </w:r>
    </w:p>
    <w:p w14:paraId="05E5DA4A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Alojamiento, de corresponder. </w:t>
      </w:r>
    </w:p>
    <w:p w14:paraId="64F1519C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Alimentación y movilidad local. </w:t>
      </w:r>
    </w:p>
    <w:p w14:paraId="083EDF8F" w14:textId="77777777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Materiales de estudio, útiles de escritorio, y vestimenta y/o uniforme y artículos de seguridad industrial, en caso corresponda. </w:t>
      </w:r>
    </w:p>
    <w:p w14:paraId="10FD9450" w14:textId="77777777" w:rsidR="00E30C7B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Seguro médico con cobertura de salud, vida, accidentes y repatriación de corresponder. El vínculo contractual se establece entre el becario/a y la empresa aseguradora. En caso la IES, OC (Centros de estudios o formación), país, embajada exija obligatoriamente la contratación de un seguro médico específico, el PRONABEC cubre dicho costo, así también analiza si dicha póliza contempla las </w:t>
      </w:r>
      <w:r w:rsidRPr="00EC744B">
        <w:rPr>
          <w:rFonts w:cstheme="minorHAnsi"/>
          <w:sz w:val="20"/>
          <w:szCs w:val="20"/>
        </w:rPr>
        <w:lastRenderedPageBreak/>
        <w:t>coberturas exigidas, de lo contrario subvenciona la contratación de un seguro solo por las coberturas faltantes.</w:t>
      </w:r>
    </w:p>
    <w:p w14:paraId="5D7C7440" w14:textId="77777777" w:rsidR="00E30C7B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Trabajo de investigación para la obtención del grado. Incluye los gastos en los que incurre el becario/a para realizar la investigación para la tesis. </w:t>
      </w:r>
    </w:p>
    <w:p w14:paraId="58B2248F" w14:textId="77777777" w:rsidR="00E30C7B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 xml:space="preserve">Costos por las tasas administrativas o similares que las IES requieran de forma obligatoria a los estudiantes, según sus regulaciones internas, según corresponda. </w:t>
      </w:r>
    </w:p>
    <w:p w14:paraId="48B215EB" w14:textId="2189639E" w:rsidR="00EF00D7" w:rsidRPr="00EC744B" w:rsidRDefault="00EF00D7" w:rsidP="00EC744B">
      <w:pPr>
        <w:pStyle w:val="Prrafodelista"/>
        <w:numPr>
          <w:ilvl w:val="0"/>
          <w:numId w:val="2"/>
        </w:numPr>
        <w:ind w:right="-568" w:hanging="567"/>
        <w:rPr>
          <w:rFonts w:cstheme="minorHAnsi"/>
          <w:sz w:val="20"/>
          <w:szCs w:val="20"/>
        </w:rPr>
      </w:pPr>
      <w:r w:rsidRPr="00EC744B">
        <w:rPr>
          <w:rFonts w:cstheme="minorHAnsi"/>
          <w:sz w:val="20"/>
          <w:szCs w:val="20"/>
        </w:rPr>
        <w:t>Subvención desde 15 días antes del inicio de clases y 15 días posteriores a la culminación de sus estudios según el plan curricular o plan de estudios de corresponder. Los días subvencionables están condicionados a la presencia del becario en el país de destino de acuerdo a la Norma para Subvenciones para estudios en el extranjero</w:t>
      </w:r>
      <w:r w:rsidR="00E30C7B" w:rsidRPr="00EC744B">
        <w:rPr>
          <w:rFonts w:cstheme="minorHAnsi"/>
          <w:sz w:val="20"/>
          <w:szCs w:val="20"/>
        </w:rPr>
        <w:t>.</w:t>
      </w:r>
    </w:p>
    <w:p w14:paraId="2EBF6CEE" w14:textId="29F89150" w:rsidR="00E30C7B" w:rsidRPr="00EC744B" w:rsidRDefault="00E30C7B" w:rsidP="00E30C7B">
      <w:pPr>
        <w:ind w:right="-852"/>
        <w:rPr>
          <w:rFonts w:cstheme="minorHAnsi"/>
          <w:b/>
          <w:bCs/>
          <w:sz w:val="20"/>
          <w:szCs w:val="20"/>
          <w:u w:val="single"/>
        </w:rPr>
      </w:pPr>
      <w:r w:rsidRPr="00EC744B">
        <w:rPr>
          <w:rFonts w:cstheme="minorHAnsi"/>
          <w:b/>
          <w:bCs/>
          <w:sz w:val="20"/>
          <w:szCs w:val="20"/>
          <w:u w:val="single"/>
        </w:rPr>
        <w:t xml:space="preserve">REQUISITOS </w:t>
      </w:r>
      <w:proofErr w:type="gramStart"/>
      <w:r w:rsidRPr="00EC744B">
        <w:rPr>
          <w:rFonts w:cstheme="minorHAnsi"/>
          <w:b/>
          <w:bCs/>
          <w:sz w:val="20"/>
          <w:szCs w:val="20"/>
          <w:u w:val="single"/>
        </w:rPr>
        <w:t xml:space="preserve">PARA </w:t>
      </w:r>
      <w:r w:rsidR="00F3456F" w:rsidRPr="00EC744B">
        <w:rPr>
          <w:rFonts w:cstheme="minorHAnsi"/>
          <w:b/>
          <w:bCs/>
          <w:sz w:val="20"/>
          <w:szCs w:val="20"/>
          <w:u w:val="single"/>
        </w:rPr>
        <w:t xml:space="preserve"> POSTULAR</w:t>
      </w:r>
      <w:proofErr w:type="gramEnd"/>
    </w:p>
    <w:p w14:paraId="0C2EE158" w14:textId="01E0AD9D" w:rsidR="00F3456F" w:rsidRPr="00EC744B" w:rsidRDefault="00F3456F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Ser peruano o peruana</w:t>
      </w:r>
    </w:p>
    <w:p w14:paraId="23710773" w14:textId="5866AC99" w:rsidR="00F3456F" w:rsidRPr="00EC744B" w:rsidRDefault="00F3456F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Acreditar estudios de pregrado o posgrado</w:t>
      </w:r>
    </w:p>
    <w:p w14:paraId="75F842F8" w14:textId="77A9EA00" w:rsidR="00F3456F" w:rsidRPr="00EC744B" w:rsidRDefault="00F3456F" w:rsidP="00F3456F">
      <w:pPr>
        <w:pStyle w:val="Prrafodelista"/>
        <w:ind w:right="-852"/>
        <w:rPr>
          <w:rFonts w:eastAsia="Times New Roman" w:cstheme="minorHAnsi"/>
          <w:sz w:val="20"/>
          <w:szCs w:val="20"/>
          <w:lang w:eastAsia="es-PE"/>
        </w:rPr>
      </w:pPr>
      <w:r w:rsidRPr="00EC744B">
        <w:rPr>
          <w:rFonts w:eastAsia="Times New Roman" w:cstheme="minorHAnsi"/>
          <w:sz w:val="20"/>
          <w:szCs w:val="20"/>
          <w:lang w:eastAsia="es-PE"/>
        </w:rPr>
        <w:t>Para maestrías. Contar con grado académico de bachiller o título profesional o título técnico profesional.</w:t>
      </w:r>
    </w:p>
    <w:p w14:paraId="205D15BE" w14:textId="23724997" w:rsidR="00F3456F" w:rsidRPr="00EC744B" w:rsidRDefault="00F3456F" w:rsidP="00F3456F">
      <w:pPr>
        <w:pStyle w:val="Prrafodelista"/>
        <w:ind w:right="-852"/>
        <w:rPr>
          <w:rFonts w:eastAsia="Times New Roman" w:cstheme="minorHAnsi"/>
          <w:sz w:val="20"/>
          <w:szCs w:val="20"/>
          <w:lang w:eastAsia="es-PE"/>
        </w:rPr>
      </w:pPr>
      <w:r w:rsidRPr="00EC744B">
        <w:rPr>
          <w:rFonts w:eastAsia="Times New Roman" w:cstheme="minorHAnsi"/>
          <w:sz w:val="20"/>
          <w:szCs w:val="20"/>
          <w:lang w:eastAsia="es-PE"/>
        </w:rPr>
        <w:t xml:space="preserve">Para doctorados: Contar </w:t>
      </w:r>
      <w:proofErr w:type="gramStart"/>
      <w:r w:rsidRPr="00EC744B">
        <w:rPr>
          <w:rFonts w:eastAsia="Times New Roman" w:cstheme="minorHAnsi"/>
          <w:sz w:val="20"/>
          <w:szCs w:val="20"/>
          <w:lang w:eastAsia="es-PE"/>
        </w:rPr>
        <w:t>con  grado</w:t>
      </w:r>
      <w:proofErr w:type="gramEnd"/>
      <w:r w:rsidRPr="00EC744B">
        <w:rPr>
          <w:rFonts w:eastAsia="Times New Roman" w:cstheme="minorHAnsi"/>
          <w:sz w:val="20"/>
          <w:szCs w:val="20"/>
          <w:lang w:eastAsia="es-PE"/>
        </w:rPr>
        <w:t xml:space="preserve"> académico de bachiller o título profesional o título técnico profesional o grado de maestría.</w:t>
      </w:r>
    </w:p>
    <w:p w14:paraId="727DD907" w14:textId="70865B68" w:rsidR="00F3456F" w:rsidRPr="00EC744B" w:rsidRDefault="00F3456F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Acreditar alto rendimiento académico en los estudios de pregrado o posgrado (promedio ponderado acumulado al finalizar los estudios) en alguno de los siguientes percentiles</w:t>
      </w:r>
      <w:r w:rsidRPr="00EC744B">
        <w:rPr>
          <w:rFonts w:eastAsia="Times New Roman" w:cstheme="minorHAnsi"/>
          <w:sz w:val="20"/>
          <w:szCs w:val="20"/>
          <w:lang w:eastAsia="es-PE"/>
        </w:rPr>
        <w:t xml:space="preserve">: </w:t>
      </w:r>
      <w:r w:rsidR="00BA42F5" w:rsidRPr="00E30C7B">
        <w:rPr>
          <w:rFonts w:eastAsia="Times New Roman" w:cstheme="minorHAnsi"/>
          <w:sz w:val="20"/>
          <w:szCs w:val="20"/>
          <w:lang w:eastAsia="es-PE"/>
        </w:rPr>
        <w:t>Décimo superior o primer o segundo puesto o equivalente</w:t>
      </w:r>
      <w:r w:rsidR="00BA42F5" w:rsidRPr="00EC744B">
        <w:rPr>
          <w:rFonts w:eastAsia="Times New Roman" w:cstheme="minorHAnsi"/>
          <w:sz w:val="20"/>
          <w:szCs w:val="20"/>
          <w:lang w:eastAsia="es-PE"/>
        </w:rPr>
        <w:t xml:space="preserve">; </w:t>
      </w:r>
      <w:r w:rsidR="00BA42F5" w:rsidRPr="00E30C7B">
        <w:rPr>
          <w:rFonts w:eastAsia="Times New Roman" w:cstheme="minorHAnsi"/>
          <w:sz w:val="20"/>
          <w:szCs w:val="20"/>
          <w:lang w:eastAsia="es-PE"/>
        </w:rPr>
        <w:t>Quinto superior o equivalente</w:t>
      </w:r>
      <w:r w:rsidR="00BA42F5" w:rsidRPr="00EC744B">
        <w:rPr>
          <w:rFonts w:eastAsia="Times New Roman" w:cstheme="minorHAnsi"/>
          <w:sz w:val="20"/>
          <w:szCs w:val="20"/>
          <w:lang w:eastAsia="es-PE"/>
        </w:rPr>
        <w:t xml:space="preserve">; </w:t>
      </w:r>
      <w:r w:rsidR="00BA42F5" w:rsidRPr="00E30C7B">
        <w:rPr>
          <w:rFonts w:eastAsia="Times New Roman" w:cstheme="minorHAnsi"/>
          <w:sz w:val="20"/>
          <w:szCs w:val="20"/>
          <w:lang w:eastAsia="es-PE"/>
        </w:rPr>
        <w:t>Tercio superior o equivalente (percentil mínimo exigido para participar en el concurso</w:t>
      </w:r>
      <w:r w:rsidR="00BA42F5" w:rsidRPr="00EC744B">
        <w:rPr>
          <w:rFonts w:eastAsia="Times New Roman" w:cstheme="minorHAnsi"/>
          <w:sz w:val="20"/>
          <w:szCs w:val="20"/>
          <w:lang w:eastAsia="es-PE"/>
        </w:rPr>
        <w:t>).</w:t>
      </w:r>
    </w:p>
    <w:p w14:paraId="6D6DAB93" w14:textId="3D62E9B7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Contar con la carta de aceptación definitiva de una IES extranjera elegible</w:t>
      </w:r>
      <w:r w:rsidRPr="00EC744B">
        <w:rPr>
          <w:rFonts w:eastAsia="Times New Roman" w:cstheme="minorHAnsi"/>
          <w:sz w:val="20"/>
          <w:szCs w:val="20"/>
          <w:lang w:eastAsia="es-PE"/>
        </w:rPr>
        <w:t>.</w:t>
      </w:r>
    </w:p>
    <w:p w14:paraId="16ACEC99" w14:textId="640D37A6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Acreditar ingreso promedio mensual per cápita familiar igual o menor a 7 veces la remuneración mínima vital vigente, que equivale a S/ 7 175</w:t>
      </w:r>
      <w:r w:rsidRPr="00EC744B">
        <w:rPr>
          <w:rFonts w:eastAsia="Times New Roman" w:cstheme="minorHAnsi"/>
          <w:sz w:val="20"/>
          <w:szCs w:val="20"/>
          <w:lang w:eastAsia="es-PE"/>
        </w:rPr>
        <w:t>.</w:t>
      </w:r>
    </w:p>
    <w:p w14:paraId="6A1CCEEB" w14:textId="6ACD25F6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Acreditar experiencia laboral mínima de un año, contabilizado después de obtenido el grado de bachiller o título técnico profesional hasta la fecha de publicación de las bases</w:t>
      </w:r>
      <w:r w:rsidRPr="00EC744B">
        <w:rPr>
          <w:rFonts w:eastAsia="Times New Roman" w:cstheme="minorHAnsi"/>
          <w:sz w:val="20"/>
          <w:szCs w:val="20"/>
          <w:lang w:eastAsia="es-PE"/>
        </w:rPr>
        <w:t>.</w:t>
      </w:r>
    </w:p>
    <w:p w14:paraId="5B364E32" w14:textId="4CD44A60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Acreditar un buen perfil profesional y/o de investigación, realizados después de la obtención del grado de bachiller u obtención del título técnico profesional</w:t>
      </w:r>
      <w:r w:rsidRPr="00EC744B">
        <w:rPr>
          <w:rFonts w:eastAsia="Times New Roman" w:cstheme="minorHAnsi"/>
          <w:sz w:val="20"/>
          <w:szCs w:val="20"/>
          <w:lang w:eastAsia="es-PE"/>
        </w:rPr>
        <w:t>.</w:t>
      </w:r>
    </w:p>
    <w:p w14:paraId="0736198C" w14:textId="66938D89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No poseer deudas superiores a 7 remuneraciones mínima vital (S/ 7 175</w:t>
      </w:r>
      <w:r w:rsidRPr="00EC744B">
        <w:rPr>
          <w:rFonts w:eastAsia="Times New Roman" w:cstheme="minorHAnsi"/>
          <w:sz w:val="20"/>
          <w:szCs w:val="20"/>
          <w:lang w:eastAsia="es-PE"/>
        </w:rPr>
        <w:t>).</w:t>
      </w:r>
    </w:p>
    <w:p w14:paraId="45A9BF19" w14:textId="3807B365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Estar en buen estado de salud física y mental que le permita iniciar y concluir satisfactoriamente el programa de estudios de posgrado</w:t>
      </w:r>
      <w:r w:rsidRPr="00EC744B">
        <w:rPr>
          <w:rFonts w:eastAsia="Times New Roman" w:cstheme="minorHAnsi"/>
          <w:sz w:val="20"/>
          <w:szCs w:val="20"/>
          <w:lang w:eastAsia="es-PE"/>
        </w:rPr>
        <w:t>.</w:t>
      </w:r>
    </w:p>
    <w:p w14:paraId="1A7A00D6" w14:textId="3AF7B15B" w:rsidR="00BA42F5" w:rsidRPr="00EC744B" w:rsidRDefault="00BA42F5" w:rsidP="00F3456F">
      <w:pPr>
        <w:pStyle w:val="Prrafodelista"/>
        <w:numPr>
          <w:ilvl w:val="0"/>
          <w:numId w:val="4"/>
        </w:numPr>
        <w:ind w:right="-852"/>
        <w:rPr>
          <w:rFonts w:cstheme="minorHAnsi"/>
          <w:sz w:val="20"/>
          <w:szCs w:val="20"/>
        </w:rPr>
      </w:pPr>
      <w:r w:rsidRPr="00E30C7B">
        <w:rPr>
          <w:rFonts w:eastAsia="Times New Roman" w:cstheme="minorHAnsi"/>
          <w:sz w:val="20"/>
          <w:szCs w:val="20"/>
          <w:lang w:eastAsia="es-PE"/>
        </w:rPr>
        <w:t>Declaraciones Juradas y formatos generados por el Módulo de Postulación</w:t>
      </w:r>
      <w:r w:rsidRPr="00EC744B">
        <w:rPr>
          <w:rFonts w:eastAsia="Times New Roman" w:cstheme="minorHAnsi"/>
          <w:sz w:val="20"/>
          <w:szCs w:val="20"/>
          <w:lang w:eastAsia="es-PE"/>
        </w:rPr>
        <w:t>.</w:t>
      </w:r>
    </w:p>
    <w:p w14:paraId="4B5BBAD6" w14:textId="191B8839" w:rsidR="00BA42F5" w:rsidRPr="00EC744B" w:rsidRDefault="00BA42F5" w:rsidP="00BA42F5">
      <w:pPr>
        <w:pStyle w:val="Prrafodelista"/>
        <w:ind w:right="-852"/>
        <w:rPr>
          <w:rFonts w:eastAsia="Times New Roman" w:cstheme="minorHAnsi"/>
          <w:sz w:val="20"/>
          <w:szCs w:val="20"/>
          <w:lang w:eastAsia="es-PE"/>
        </w:rPr>
      </w:pPr>
    </w:p>
    <w:p w14:paraId="5045BC70" w14:textId="1DB3C73A" w:rsidR="00BA42F5" w:rsidRPr="00EC744B" w:rsidRDefault="00BA42F5" w:rsidP="00BA42F5">
      <w:pPr>
        <w:pStyle w:val="Prrafodelista"/>
        <w:ind w:right="-852"/>
        <w:rPr>
          <w:rFonts w:eastAsia="Times New Roman" w:cstheme="minorHAnsi"/>
          <w:i/>
          <w:iCs/>
          <w:color w:val="7A7A7A"/>
          <w:sz w:val="20"/>
          <w:szCs w:val="20"/>
          <w:bdr w:val="none" w:sz="0" w:space="0" w:color="auto" w:frame="1"/>
          <w:lang w:eastAsia="es-PE"/>
        </w:rPr>
      </w:pPr>
      <w:r w:rsidRPr="00E30C7B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s-PE"/>
        </w:rPr>
        <w:t>Mayor información, leer las bases del concurso</w:t>
      </w:r>
      <w:r w:rsidRPr="00EC744B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s-PE"/>
        </w:rPr>
        <w:t xml:space="preserve">: </w:t>
      </w:r>
      <w:hyperlink r:id="rId5" w:history="1">
        <w:r w:rsidRPr="00EC744B">
          <w:rPr>
            <w:rStyle w:val="Hipervnculo"/>
            <w:rFonts w:eastAsia="Times New Roman" w:cstheme="minorHAnsi"/>
            <w:i/>
            <w:iCs/>
            <w:color w:val="auto"/>
            <w:sz w:val="20"/>
            <w:szCs w:val="20"/>
            <w:bdr w:val="none" w:sz="0" w:space="0" w:color="auto" w:frame="1"/>
            <w:lang w:eastAsia="es-PE"/>
          </w:rPr>
          <w:t>http://www.pronabec.gob.pe/beca-generacion-bicentenario/</w:t>
        </w:r>
      </w:hyperlink>
    </w:p>
    <w:p w14:paraId="14EEB638" w14:textId="24D13406" w:rsidR="00BA42F5" w:rsidRPr="00EC744B" w:rsidRDefault="00BA42F5" w:rsidP="00BA42F5">
      <w:pPr>
        <w:pStyle w:val="Prrafodelista"/>
        <w:ind w:right="-852"/>
        <w:rPr>
          <w:rFonts w:eastAsia="Times New Roman" w:cstheme="minorHAnsi"/>
          <w:sz w:val="20"/>
          <w:szCs w:val="20"/>
          <w:lang w:eastAsia="es-PE"/>
        </w:rPr>
      </w:pPr>
    </w:p>
    <w:p w14:paraId="08C58E12" w14:textId="72C87E7F" w:rsidR="00BA42F5" w:rsidRPr="00EC744B" w:rsidRDefault="00BA42F5" w:rsidP="00BA42F5">
      <w:pPr>
        <w:pStyle w:val="Prrafodelista"/>
        <w:ind w:left="-284" w:right="-852"/>
        <w:rPr>
          <w:rFonts w:eastAsia="Times New Roman" w:cstheme="minorHAnsi"/>
          <w:sz w:val="20"/>
          <w:szCs w:val="20"/>
          <w:lang w:eastAsia="es-PE"/>
        </w:rPr>
      </w:pPr>
    </w:p>
    <w:p w14:paraId="10A9B072" w14:textId="6A41772F" w:rsidR="00BA42F5" w:rsidRPr="00EC744B" w:rsidRDefault="009E622F" w:rsidP="009E622F">
      <w:pPr>
        <w:pStyle w:val="Prrafodelista"/>
        <w:ind w:left="-284" w:right="-852"/>
        <w:jc w:val="center"/>
        <w:rPr>
          <w:rFonts w:eastAsia="Times New Roman" w:cstheme="minorHAnsi"/>
          <w:i/>
          <w:iCs/>
          <w:color w:val="7A7A7A"/>
          <w:sz w:val="20"/>
          <w:szCs w:val="20"/>
          <w:bdr w:val="none" w:sz="0" w:space="0" w:color="auto" w:frame="1"/>
          <w:lang w:eastAsia="es-PE"/>
        </w:rPr>
      </w:pPr>
      <w:r>
        <w:rPr>
          <w:noProof/>
        </w:rPr>
        <w:drawing>
          <wp:inline distT="0" distB="0" distL="0" distR="0" wp14:anchorId="56AECE2D" wp14:editId="674CA782">
            <wp:extent cx="2362200" cy="2362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2F5" w:rsidRPr="00EC744B" w:rsidSect="00EC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E38"/>
    <w:multiLevelType w:val="hybridMultilevel"/>
    <w:tmpl w:val="30D85F30"/>
    <w:lvl w:ilvl="0" w:tplc="A5B0F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C9D"/>
    <w:multiLevelType w:val="multilevel"/>
    <w:tmpl w:val="57BC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16A1D"/>
    <w:multiLevelType w:val="multilevel"/>
    <w:tmpl w:val="2C9C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260BF"/>
    <w:multiLevelType w:val="hybridMultilevel"/>
    <w:tmpl w:val="0F023E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18112">
    <w:abstractNumId w:val="1"/>
  </w:num>
  <w:num w:numId="2" w16cid:durableId="77362299">
    <w:abstractNumId w:val="0"/>
  </w:num>
  <w:num w:numId="3" w16cid:durableId="1119252351">
    <w:abstractNumId w:val="2"/>
  </w:num>
  <w:num w:numId="4" w16cid:durableId="565456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CF"/>
    <w:rsid w:val="002E79CF"/>
    <w:rsid w:val="009E622F"/>
    <w:rsid w:val="00B73E24"/>
    <w:rsid w:val="00BA42F5"/>
    <w:rsid w:val="00E30C7B"/>
    <w:rsid w:val="00EC744B"/>
    <w:rsid w:val="00EF00D7"/>
    <w:rsid w:val="00F22175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E2E58"/>
  <w15:chartTrackingRefBased/>
  <w15:docId w15:val="{2561D5D7-738C-4B38-8C70-FE4AF40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E7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79CF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2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2E79CF"/>
    <w:rPr>
      <w:b/>
      <w:bCs/>
    </w:rPr>
  </w:style>
  <w:style w:type="character" w:styleId="nfasis">
    <w:name w:val="Emphasis"/>
    <w:basedOn w:val="Fuentedeprrafopredeter"/>
    <w:uiPriority w:val="20"/>
    <w:qFormat/>
    <w:rsid w:val="002E79CF"/>
    <w:rPr>
      <w:i/>
      <w:iCs/>
    </w:rPr>
  </w:style>
  <w:style w:type="paragraph" w:styleId="Prrafodelista">
    <w:name w:val="List Paragraph"/>
    <w:basedOn w:val="Normal"/>
    <w:uiPriority w:val="34"/>
    <w:qFormat/>
    <w:rsid w:val="00EF00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2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7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4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4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6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onabec.gob.pe/beca-generacion-bicentenar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2</cp:revision>
  <dcterms:created xsi:type="dcterms:W3CDTF">2022-05-17T20:14:00Z</dcterms:created>
  <dcterms:modified xsi:type="dcterms:W3CDTF">2022-05-17T21:43:00Z</dcterms:modified>
</cp:coreProperties>
</file>